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88a LKrO (Bayern) — Konsolidierter Jahresabschluss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Jahresabschluss des Landkreises sind die Jahresabschlüsse</w:t>
      </w:r>
    </w:p>
    <w:p>
      <w:r>
        <w:t xml:space="preserve">1. der außerhalb der allgemeinen Verwaltung geführten Sondervermögen ohne eigene Rechtspersönlichkeit,</w:t>
      </w:r>
    </w:p>
    <w:p>
      <w:r>
        <w:t xml:space="preserve">2. der rechtlich selbstständigen Organisationseinheiten und Vermögensmassen mit Nennkapital oder variablen Kapitalanteilen,</w:t>
      </w:r>
    </w:p>
    <w:p>
      <w:r>
        <w:t xml:space="preserve">3. der Zweckverbände mit kaufmännischer Rechnungslegung und der gemeinsamen Kommunalunternehmen und</w:t>
      </w:r>
    </w:p>
    <w:p>
      <w:r>
        <w:t xml:space="preserve">4. der von dem Landkreis verwalteten kommunalen Stiftungen mit kaufmännischem Rechnungswesen</w:t>
      </w:r>
    </w:p>
    <w:p>
      <w:r>
        <w:t xml:space="preserve">zu konsolidieren. Das gilt nicht für die Jahresabschlüsse der Sparkassen.</w:t>
      </w:r>
    </w:p>
    <w:p>
      <w:r>
        <w:t xml:space="preserve">(2) Aufgabenträger nach Abs. 1 sind entsprechend den §§ 300 bis 309 des Handelsgesetzbuchs zu konsolidieren (Vollkonsolidierung), wenn bei dem Landkreis die dem § 290 Abs. 1 und 2 des Handelsgesetzbuchs entsprechenden Voraussetzungen vorliegen. Andere Aufgabenträger als nach Satz 1 sind entsprechend den §§ 311 und 312 des Handelsgesetzbuchs zu konsolidieren, es sei denn, sie sind für die Vermittlung eines den tatsächlichen Verhältnissen entsprechenden Bildes der Vermögens-, Finanz- und Ertragslage von untergeordneter Bedeutung. Aufgabenträger nach Abs. 1 Nr. 3 können auch entsprechend § 310 des Handelsgesetzbuchs anteilsmäßig konsolidiert werden. Für den Anteil an einem Zweckverband ist der Umlageschlüssel maßgebend.</w:t>
      </w:r>
    </w:p>
    <w:p>
      <w:r>
        <w:t xml:space="preserve">(3) Der konsolidierte Jahresabschluss ist durch eine Kapitalflussrechnung zu ergänzen und durch einen Konsolidierungsbericht zu erläutern.</w:t>
      </w:r>
    </w:p>
    <w:p>
      <w:r>
        <w:t xml:space="preserve">(4) Der Landkreis hat bei den in Abs. 1 Satz 1 genannten Aufgabenträgern, Organisationseinheiten und Vermögensmassen darauf hinzuwirken, dass ihm das Recht eingeräumt wird, von diesen alle Informationen und Unterlagen zu erhalten, die er für die Konsolidierung der Jahresabschlüsse für erforderlich hält.</w:t>
      </w:r>
    </w:p>
    <w:p>
      <w:r>
        <w:rPr>
          <w:color w:val="555555"/>
          <w:sz w:val="17"/>
        </w:rPr>
        <w:t xml:space="preserve">Zitiervorschlag: Art 88a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