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LKrO (Bayern) — Änderungen und Zuständigkeit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 Gründen des öffentlichen Wohls können Landkreise in ihrem Bestand oder Gebiet geändert werden. Änderungen im Gebiet müssen insbesondere auf die Leistungsfähigkeit der beteiligten Landkreise Rücksicht nehmen. Art. 5 Abs. 3 und Art. 5a Abs. 1 der Gemeindeordnung (GO) bleiben unberührt.</w:t>
      </w:r>
    </w:p>
    <w:p>
      <w:r>
        <w:t xml:space="preserve">(2) Änderungen im Bestand von Landkreisen werden mit Zustimmung des Landtags durch Rechtsverordnung der Staatsregierung vorgenommen.</w:t>
      </w:r>
    </w:p>
    <w:p>
      <w:r>
        <w:t xml:space="preserve">(3) Änderungen im Gebiet von Landkreisen werden mit Zustimmung des Landtags durch Rechtsverordnung der Staatsregierung vorgenommen, wenn mindestens eine ganze Gemeinde oder ein ganzes gemeindefreies Gebiet umgegliedert wird. Sonstige Gebietsänderungen werden durch Rechtsverordnung der Regierung, wenn sie mit einer Änderung im Gebiet von Bezirken verbunden sind, durch Rechtsverordnung des Staatsministeriums des Innern, für Sport und Integration vorgenommen.</w:t>
      </w:r>
    </w:p>
    <w:p>
      <w:r>
        <w:t xml:space="preserve">(4) Im Verfahren nach Absatz 2 oder 3 können Änderungen nach Art. 11 GO, die mit Änderungen im Bestand oder Gebiet von Landkreisen rechtlich oder sachlich zusammenhängen, miterledigt werden, soweit die Änderungen gemäß Art. 12 Abs. 1 Satz 2 GO durch Rechtsverordnung vorgenommen werden können.</w:t>
      </w:r>
    </w:p>
    <w:p>
      <w:r>
        <w:t xml:space="preserve">(5) Vor der Änderung sind die beteiligten Landkreise sowie die Gemeinden und die Eigentümer der gemeindefreien Grundstücke im Änderungsgebiet zu hören. Den Kreisbürgerinnen und Kreisbürgern, deren Kreiszugehörigkeit wechselt, soll Gelegenheit gegeben werden, zu der Änderung in geheimer Abstimmung Stellung zu nehmen.</w:t>
      </w:r>
    </w:p>
    <w:p>
      <w:r>
        <w:rPr>
          <w:color w:val="555555"/>
          <w:sz w:val="17"/>
        </w:rPr>
        <w:t xml:space="preserve">Zitiervorschlag: Art 8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