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LKrO (Bayern) — Veräußerung von Vermögen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Landkreis darf Vermögensgegenstände, die er zur Erfüllung seiner Aufgaben nicht braucht, veräußern. Vermögensgegenstände dürfen in der Regel nur zu ihrem vollen Wert veräußert werden.</w:t>
      </w:r>
    </w:p>
    <w:p>
      <w:r>
        <w:t xml:space="preserve">(2) Für die Überlassung der Nutzung eines Vermögensgegenstands gilt Absatz 1 entsprechend. Ausnahmen sind insbesondere zulässig bei der Vermietung von Gebäuden zur Sicherung preiswerten Wohnens und zur Sicherung der Existenz kleiner und ertragsschwacher Gewerbebetriebe.</w:t>
      </w:r>
    </w:p>
    <w:p>
      <w:r>
        <w:t xml:space="preserve">(3) Die Verschenkung und die unentgeltliche Überlassung von Landkreisvermögen sind unzulässig (Art. 12 Abs. 2 Satz 2 der Verfassung). Die Veräußerung oder Überlassung von Landkreisvermögen in Erfüllung von Kreisaufgaben oder herkömmlicher Anstandspflichten fällt nicht unter dieses Verbot.</w:t>
      </w:r>
    </w:p>
    <w:p>
      <w:r>
        <w:t xml:space="preserve">(4) Landkreisvermögen darf nur im Rahmen der Aufgabenerfüllung des Landkreises und nur dann in Stiftungsvermögen eingebracht werden, wenn der mit der Stiftung verfolgte Zweck auf andere Weise nicht erreicht werden kann.</w:t>
      </w:r>
    </w:p>
    <w:p>
      <w:r>
        <w:rPr>
          <w:color w:val="555555"/>
          <w:sz w:val="17"/>
        </w:rPr>
        <w:t xml:space="preserve">Zitiervorschlag: Art 69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