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LKrO (Bayern) — Haushaltssatzung</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Landkreis hat für jedes Haushaltsjahr eine Haushaltssatzung zu erlassen. Die Haushaltssatzung kann Festsetzungen für zwei Haushaltsjahre, nach Jahren getrennt, enthalten.</w:t>
      </w:r>
    </w:p>
    <w:p>
      <w:r>
        <w:t xml:space="preserve">(2) Die Haushaltssatzung enthält die Festsetzung</w:t>
      </w:r>
    </w:p>
    <w:p>
      <w:r>
        <w:t xml:space="preserve">1. des Haushaltsplans unter Angabe</w:t>
      </w:r>
    </w:p>
    <w:p>
      <w:r>
        <w:t xml:space="preserve">a) des Gesamtbetrags der Erträge und Aufwendungen des Haushaltsjahres sowie des sich daraus ergebenden Saldos des Ergebnishaushalts, des Gesamtbetrags der Einzahlungen und Auszahlungen aus laufender Verwaltungstätigkeit, aus der Investitionstätigkeit und aus der Finanzierungstätigkeit des Haushaltsjahres sowie des sich daraus ergebenden Saldos des Finanzhaushalts bei Haushaltswirtschaft nach den Grundsätzen der doppelten kommunalen Buchführung,</w:t>
      </w:r>
    </w:p>
    <w:p>
      <w:r>
        <w:t xml:space="preserve">b) des Gesamtbetrags der Einnahmen und Ausgaben des Haushaltsjahres bei Haushaltswirtschaft nach den Grundsätzen der Kameralistik,</w:t>
      </w:r>
    </w:p>
    <w:p>
      <w:r>
        <w:t xml:space="preserve">2. des Gesamtbetrags der vorgesehenen Kreditaufnahmen für Investitionen und Investitionsförderungsmaßnahmen (Kreditermächtigungen),</w:t>
      </w:r>
    </w:p>
    <w:p>
      <w:r>
        <w:t xml:space="preserve">3. des Gesamtbetrags der vorgesehenen Ermächtigungen zum Eingehen von Verpflichtungen, die künftige Haushaltsjahre mit Auszahlungen beziehungsweise Ausgaben für Investitionen und Investitionsförderungsmaßnahmen belasten (Verpflichtungsermächtigungen),</w:t>
      </w:r>
    </w:p>
    <w:p>
      <w:r>
        <w:t xml:space="preserve">4. der Kreisumlage (Umlagesoll und Umlagesätze) und der Abgabesätze, die für jedes Haushaltsjahr neu festzusetzen sind,</w:t>
      </w:r>
    </w:p>
    <w:p>
      <w:r>
        <w:t xml:space="preserve">5. des Höchstbetrags der Kassenkredite.</w:t>
      </w:r>
    </w:p>
    <w:p>
      <w:r>
        <w:t xml:space="preserve">Die Angaben nach Satz 1 Nrn. 2, 3 und 5 sind getrennt für das Haushaltswesen des Landkreises und die Wirtschaftsführung von Eigenbetrieben zu machen. Die Haushaltssatzung kann weitere Vorschriften enthalten, die sich auf die Erträge und Einzahlungen sowie Aufwendungen und Auszahlungen beziehungsweise auf die Einnahmen und Ausgaben und den Stellenplan des Haushaltsjahres beziehen.</w:t>
      </w:r>
    </w:p>
    <w:p>
      <w:r>
        <w:t xml:space="preserve">(3) Die Haushaltssatzung tritt mit Beginn des Haushaltsjahres in Kraft und gilt für das Haushaltsjahr.</w:t>
      </w:r>
    </w:p>
    <w:p>
      <w:r>
        <w:t xml:space="preserve">(4) Haushaltsjahr ist das Kalenderjahr, soweit für einzelne Bereiche durch Gesetz oder Rechtsverordnung nichts anderes bestimmt ist.</w:t>
      </w:r>
    </w:p>
    <w:p>
      <w:r>
        <w:rPr>
          <w:color w:val="555555"/>
          <w:sz w:val="17"/>
        </w:rPr>
        <w:t xml:space="preserve">Zitiervorschlag: Art 57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