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LKrO (Bayern) — Grundsätze der Einnahmebeschaffung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Landkreis erhebt Abgaben nach den gesetzlichen Vorschriften.</w:t>
      </w:r>
    </w:p>
    <w:p>
      <w:r>
        <w:t xml:space="preserve">(2) Er hat die zur Erfüllung seiner Aufgaben erforderlichen Einnahmen</w:t>
      </w:r>
    </w:p>
    <w:p>
      <w:r>
        <w:t xml:space="preserve">1. soweit vertretbar und geboten aus besonderen Entgelten für die von ihm erbrachten Leistungen,</w:t>
      </w:r>
    </w:p>
    <w:p>
      <w:r>
        <w:t xml:space="preserve">2. im übrigen aus Steuern und durch die Kreisumlage zu beschaffen, soweit die sonstigen Einnahmen nicht ausreichen.</w:t>
      </w:r>
    </w:p>
    <w:p>
      <w:r>
        <w:t xml:space="preserve">(3) Der Landkreis darf Kredite nur aufnehmen, wenn eine andere Finanzierung nicht möglich ist oder wirtschaftlich unzweckmäßig wäre.</w:t>
      </w:r>
    </w:p>
    <w:p>
      <w:r>
        <w:rPr>
          <w:color w:val="555555"/>
          <w:sz w:val="17"/>
        </w:rPr>
        <w:t xml:space="preserve">Zitiervorschlag: Art 56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