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LKrO (Bayern) — Allgemeine Haushaltsgrundsätze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Landkreis hat seine Haushaltswirtschaft so zu planen und zu führen, daß die stetige Erfüllung seiner Aufgaben gesichert ist. Die dauernde Leistungsfähigkeit des Landkreises ist sicherzustellen, eine Überschuldung ist zu vermeiden. Dabei ist § 51 des Haushaltsgrundsätzegesetzes Rechnung zu tragen.</w:t>
      </w:r>
    </w:p>
    <w:p>
      <w:r>
        <w:t xml:space="preserve">(2) Die Haushaltswirtschaft ist sparsam und wirtschaftlich zu planen und zu führen. Aufgaben sollen in geeigneten Fällen daraufhin untersucht werden, ob und in welchem Umfang sie durch nichtkommunale Stellen, insbesondere durch private Dritte oder unter Heranziehung Dritter, mindestens ebenso gut erledigt werden können.</w:t>
      </w:r>
    </w:p>
    <w:p>
      <w:r>
        <w:t xml:space="preserve">(3) Bei der Führung der Haushaltswirtschaft hat der Landkreis finanzielle Risiken zu minimieren. Ein erhöhtes Risiko liegt vor, wenn besondere Umstände, vor allem ein grobes Missverhältnis bei der Risikoverteilung zu Lasten des Landkreises, die Gefahr eines erheblichen Vermögensschadens begründen.</w:t>
      </w:r>
    </w:p>
    <w:p>
      <w:r>
        <w:t xml:space="preserve">(4) Die Haushaltswirtschaft ist nach den Grundsätzen der doppelten kommunalen Buchführung oder nach den Grundsätzen der Kameralistik zu führen.</w:t>
      </w:r>
    </w:p>
    <w:p>
      <w:r>
        <w:rPr>
          <w:color w:val="555555"/>
          <w:sz w:val="17"/>
        </w:rPr>
        <w:t xml:space="preserve">Zitiervorschlag: Art 55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