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LKrO (Bayern) — Aufgaben des übertragenen Wirkungskreises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übertragenen Wirkungskreis haben die Landkreise die staatlichen Verwaltungsaufgaben, die auf die Kreisverwaltung nach Art. 37 Abs. 2 durch Einzelgesetze übertragen werden, zu erfüllen. Unberührt bleibt die Zuständigkeit des Landratsamts als Staatsbehörde (Art. 37 Abs. 1 Satz 2) und die Zuständigkeit von Sonderbehörden.</w:t>
      </w:r>
    </w:p>
    <w:p>
      <w:r>
        <w:t xml:space="preserve">(2) Zur Erledigung der staatlichen Aufgaben stellen die Landkreise die erforderlichen Einrichtungen zur Verfügung. Für Mehrbelastungen im Sinn des Art. 83 Abs. 3 der Verfassung ist ein entsprechender finanzieller Ausgleich nach dessen Grundsätzen zu leisten.</w:t>
      </w:r>
    </w:p>
    <w:p>
      <w:r>
        <w:rPr>
          <w:color w:val="555555"/>
          <w:sz w:val="17"/>
        </w:rPr>
        <w:t xml:space="preserve">Zitiervorschlag: Art 53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