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LKrO (Bayern) — Übernahme von Gemeindeaufgaben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Antrag kreisangehöriger Gemeinden können die Landkreise deren Aufgaben des eigenen Wirkungskreises (Art. 57 GO) übernehmen, wenn und solange diese das Leistungsvermögen der beteiligten Gemeinden übersteigen.</w:t>
      </w:r>
    </w:p>
    <w:p>
      <w:r>
        <w:t xml:space="preserve">(2) Der Beschluß bedarf einer Mehrheit von zwei Dritteln der gesetzlichen Mitgliederzahl des Kreistags.</w:t>
      </w:r>
    </w:p>
    <w:p>
      <w:r>
        <w:rPr>
          <w:color w:val="555555"/>
          <w:sz w:val="17"/>
        </w:rPr>
        <w:t xml:space="preserve">Zitiervorschlag: Art 52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