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LKrO (Bayern) — Aufgaben des eigenen Wirkungskreises</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eigenen Wirkungskreis sollen die Landkreise in den Grenzen ihrer Leistungsfähigkeit die öffentlichen Einrichtungen schaffen, die für das wirtschaftliche, soziale und kulturelle Wohl ihrer Einwohnerinnen und Einwohner nach den Verhältnissen des Kreisgebiets erforderlich sind; hierbei sind die Belange des Natur- und Umweltschutzes zu berücksichtigen.</w:t>
      </w:r>
    </w:p>
    <w:p>
      <w:r>
        <w:t xml:space="preserve">(2) Im Rahmen des Absatzes 1 sind die Landkreise, unbeschadet bestehender Verbindlichkeiten Dritter, verpflichtet, nach Maßgabe der gesetzlichen Vorschriften die erforderlichen Maßnahmen auf den Gebieten der Straßenverwaltung, der Feuersicherheit, des Gesundheitswesens sowie der öffentlichen Fürsorge und Wohlfahrtspflege zu treffen oder die nötigen Leistungen für solche Maßnahmen aufzuwenden.</w:t>
      </w:r>
    </w:p>
    <w:p>
      <w:r>
        <w:t xml:space="preserve">(3) Die Landkreise sind, unbeschadet bestehender Verbindlichkeiten Dritter, in den Grenzen ihrer Leistungsfähigkeit verpflichtet,</w:t>
      </w:r>
    </w:p>
    <w:p>
      <w:r>
        <w:t xml:space="preserve">1. die erforderlichen Krankenhäuser zu errichten und zu unterhalten und die Hebammenhilfe für die Bevölkerung sicherzustellen,</w:t>
      </w:r>
    </w:p>
    <w:p>
      <w:r>
        <w:t xml:space="preserve">2. die aus Gründen des öffentlichen Wohls erforderlichen Einrichtungen zur Versorgung mit Trinkwasser herzustellen und zu unterhalten, soweit eine solche Aufgabe überörtlicher Natur ist und daher aus tatsächlichen oder wirtschaftlichen Gründen die Errichtung einer zentralen Einrichtung für das gesamte oder überwiegende Kreisgebiet geboten ist,</w:t>
      </w:r>
    </w:p>
    <w:p>
      <w:r>
        <w:t xml:space="preserve">3. Gartenkultur und Landespflege unbeschadet anderer gesetzlicher Vorschriften zu fördern.</w:t>
      </w:r>
    </w:p>
    <w:p>
      <w:r>
        <w:t xml:space="preserve">Sonstige gesetzlich festgelegte Verpflichtungen der Landkreise bleiben unberührt.</w:t>
      </w:r>
    </w:p>
    <w:p>
      <w:r>
        <w:t xml:space="preserve">(4) Übersteigt eine Pflichtaufgabe die Leistungsfähigkeit eines Landkreises, so ist diese Aufgabe in kommunaler Zusammenarbeit zu erfüllen.</w:t>
      </w:r>
    </w:p>
    <w:p>
      <w:r>
        <w:rPr>
          <w:color w:val="555555"/>
          <w:sz w:val="17"/>
        </w:rPr>
        <w:t xml:space="preserve">Zitiervorschlag: Art 51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