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LKrO (Bayern) — Niederschrift</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Verhandlungen des Kreistags sind niederzuschreiben. Die Niederschrift muß Tag und Ort der Sitzung, die anwesenden Kreisrätinnen und Kreisräte, die behandelten Gegenstände, die Beschlüsse und das Abstimmungsergebnis ersehen lassen. Jedes Mitglied kann verlangen, daß in der Niederschrift festgehalten wird, wie es abgestimmt hat.</w:t>
      </w:r>
    </w:p>
    <w:p>
      <w:r>
        <w:t xml:space="preserve">(2) Die Niederschrift ist von der oder dem Vorsitzenden und von der Schriftführerin oder dem Schriftführer zu unterschreiben und vom Kreistag zu genehmigen.</w:t>
      </w:r>
    </w:p>
    <w:p>
      <w:r>
        <w:t xml:space="preserve">(3) Die Kreisrätinnen und Kreisräte können jederzeit die Niederschriften der öffentlichen sowie der nichtöffentlichen Sitzungen des Kreistags einsehen und sich unentgeltlich Kopien der Niederschriften der öffentlichen Sitzungen erteilen lassen. Die Kreisbürgerinnen und Kreisbürger können Einsicht in die Niederschriften der öffentlichen Sitzungen des Kreistags nehmen und sich Kopien erteilen lassen. Für die Fertigung der Kopien nach Satz 2 können die Landkreise Kosten nach Maßgabe des Kostengesetzes erheben.</w:t>
      </w:r>
    </w:p>
    <w:p>
      <w:r>
        <w:rPr>
          <w:color w:val="555555"/>
          <w:sz w:val="17"/>
        </w:rPr>
        <w:t xml:space="preserve">Zitiervorschlag: Art 48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