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44 LKrO (Bayern) — Einschränkung des Vertretungsrechts</w:t>
      </w:r>
    </w:p>
    <w:p>
      <w:r>
        <w:rPr>
          <w:color w:val="555555"/>
          <w:sz w:val="18"/>
        </w:rPr>
        <w:t xml:space="preserve">Landkreisordnung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Mitglieder des Kreistags dürfen Ansprüche Dritter gegen den Landkreis nur als gesetzliche Vertreter geltend machen.</w:t>
      </w:r>
    </w:p>
    <w:p>
      <w:r>
        <w:rPr>
          <w:color w:val="555555"/>
          <w:sz w:val="17"/>
        </w:rPr>
        <w:t xml:space="preserve">Zitiervorschlag: Art 44 LKrO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https://recht.nulegal.eu/gesetze/LKrO/44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