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LKrO (Bayern) — Ausschluß wegen persönlicher Beteiligung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kann an der Beratung und Abstimmung nicht teilnehmen, wenn der Beschluss ihm selbst, einem Angehörigen (Art. 20 Abs. 5 BayVwVfG) oder einer von ihm vertretenen natürlichen oder juristischen Person oder sonstigen Vereinigung einen unmittelbaren Vorteil oder Nachteil bringen kann. Gleiches gilt, wenn ein Mitglied des Kreistags in anderer als öffentlicher Eigenschaft ein Gutachten abgegeben hat.</w:t>
      </w:r>
    </w:p>
    <w:p>
      <w:r>
        <w:t xml:space="preserve">(2) Absatz 1 gilt nicht</w:t>
      </w:r>
    </w:p>
    <w:p>
      <w:r>
        <w:t xml:space="preserve">1. für Wahlen,</w:t>
      </w:r>
    </w:p>
    <w:p>
      <w:r>
        <w:t xml:space="preserve">2. für Beschlüsse, mit denen der Kreistag eine Person zum Mitglied eines Ausschusses bestellt oder sie zur Wahrnehmung von Interessen des Landkreises in eine andere Einrichtung entsendet, dafür vorschlägt oder daraus abberuft.</w:t>
      </w:r>
    </w:p>
    <w:p>
      <w:r>
        <w:t xml:space="preserve">(3) Ob die Voraussetzungen des Absatzes 1 vorliegen, entscheidet der Kreistag ohne Mitwirkung des persönlich Beteiligten.</w:t>
      </w:r>
    </w:p>
    <w:p>
      <w:r>
        <w:t xml:space="preserve">(4) Die Mitwirkung eines wegen persönlicher Beteiligung ausgeschlossenen Mitglieds hat die Ungültigkeit des Beschlusses nur zur Folge, wenn sie für das Abstimmungsergebnis entscheidend war.</w:t>
      </w:r>
    </w:p>
    <w:p>
      <w:r>
        <w:rPr>
          <w:color w:val="555555"/>
          <w:sz w:val="17"/>
        </w:rPr>
        <w:t xml:space="preserve">Zitiervorschlag: Art 43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