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30 LKrO (Bayern) — Dem Kreistag vorbehaltene Angelegenheiten</w:t>
      </w:r>
    </w:p>
    <w:p>
      <w:r>
        <w:rPr>
          <w:color w:val="555555"/>
          <w:sz w:val="18"/>
        </w:rPr>
        <w:t xml:space="preserve">Landkreisordnung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Kreistag kann dem Kreisausschuß und den weiteren beschließenden Ausschüssen folgende in diesem Gesetz geregelten Angelegenheiten nicht übertragen:</w:t>
      </w:r>
    </w:p>
    <w:p>
      <w:r>
        <w:t xml:space="preserve">1. die Beschlußfassung über den Sitz der Kreisverwaltung und den Namen des Landkreises (Art. 2 Abs. 1),</w:t>
      </w:r>
    </w:p>
    <w:p>
      <w:r>
        <w:t xml:space="preserve">2. die Annahme und Änderung von Wappen und Fahnen (Art. 3 Abs. 1),</w:t>
      </w:r>
    </w:p>
    <w:p>
      <w:r>
        <w:t xml:space="preserve">3. die Beschlußfassung über Änderungen von bewohntem Kreisgebiet,</w:t>
      </w:r>
    </w:p>
    <w:p>
      <w:r>
        <w:t xml:space="preserve">4. die Festsetzung der Entschädigung für ehrenamtlich tätige Personen (Art. 14a),</w:t>
      </w:r>
    </w:p>
    <w:p>
      <w:r>
        <w:t xml:space="preserve">5. die Festsetzung öffentlicher Abgaben und Gebühren,</w:t>
      </w:r>
    </w:p>
    <w:p>
      <w:r>
        <w:t xml:space="preserve">6. den Erlaß, die Änderung und die Aufhebung von Satzungen, bewehrten Satzungen und Verordnungen,</w:t>
      </w:r>
    </w:p>
    <w:p>
      <w:r>
        <w:t xml:space="preserve">7. die Bestellung des Kreisausschusses und die Übertragung von Aufgaben auf den Kreisausschuß (Art. 26 und 27),</w:t>
      </w:r>
    </w:p>
    <w:p>
      <w:r>
        <w:t xml:space="preserve">8. die Bildung, Besetzung und Auflösung weiterer Ausschüsse (Art. 29),</w:t>
      </w:r>
    </w:p>
    <w:p>
      <w:r>
        <w:t xml:space="preserve">9. die Beschlußfassung in beamten-, besoldungs-, versorgungs- und disziplinarrechtlichen Angelegenheiten der Landrätin oder des Landrats und ihrer gewählten Stellvertretung, soweit nicht das Kommunal-Wahlbeamten-Gesetz oder das Bayerische Disziplinargesetz etwas anderes bestimmen,</w:t>
      </w:r>
    </w:p>
    <w:p>
      <w:r>
        <w:t xml:space="preserve">10. die Aufstellung der Richtlinien über die laufenden Angelegenheiten (Art. 34 Abs. 1),</w:t>
      </w:r>
    </w:p>
    <w:p>
      <w:r>
        <w:t xml:space="preserve">11. die Wahl der Stellvertretung der Landrätin oder des Landrats und die Regelung der weiteren Stellvertretung (Art. 32),</w:t>
      </w:r>
    </w:p>
    <w:p>
      <w:r>
        <w:t xml:space="preserve">12. den Erlaß der Geschäftsordnung für den Kreistag (Art. 40),</w:t>
      </w:r>
    </w:p>
    <w:p>
      <w:r>
        <w:t xml:space="preserve">13. die Übernahme von Selbstverwaltungsaufgaben kreisangehöriger Gemeinden (Art. 52 Abs. 2),</w:t>
      </w:r>
    </w:p>
    <w:p>
      <w:r>
        <w:t xml:space="preserve">14. die Beschlußfassung über die Haushaltssatzung, über die Nachtragshaushaltssatzungen sowie die Beschlußfassung über die Aufnahme von zusätzlichen Krediten während der vorläufigen Haushaltsführung (Art. 59, 62 und 63 Abs. 2),</w:t>
      </w:r>
    </w:p>
    <w:p>
      <w:r>
        <w:t xml:space="preserve">15. die Beschlußfassung über den Finanzplan (Art. 64),</w:t>
      </w:r>
    </w:p>
    <w:p>
      <w:r>
        <w:t xml:space="preserve">16. die Feststellung der Jahresrechnung und der Jahresabschlüsse der Eigenbetriebe und der Krankenhäuser mit kaufmännischem Rechnungswesen sowie die Beschlußfassung über die Entlastung (Art. 88),</w:t>
      </w:r>
    </w:p>
    <w:p>
      <w:r>
        <w:t xml:space="preserve">17. Entscheidungen über Unternehmen der Landkreise im Sinn von Art. 84,</w:t>
      </w:r>
    </w:p>
    <w:p>
      <w:r>
        <w:t xml:space="preserve">18. die hinsichtlich der Eigenbetriebe dem Kreistag im übrigen vorbehaltenen Angelegenheiten (Art. 76),</w:t>
      </w:r>
    </w:p>
    <w:p>
      <w:r>
        <w:t xml:space="preserve">19. die Bestellung und die Abberufung des Leiters des Rechnungsprüfungsamts sowie seines Stellvertreters.</w:t>
      </w:r>
    </w:p>
    <w:p>
      <w:r>
        <w:rPr>
          <w:color w:val="555555"/>
          <w:sz w:val="17"/>
        </w:rPr>
        <w:t xml:space="preserve">Zitiervorschlag: Art 30 LKrO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https://recht.nulegal.eu/gesetze/LKrO/30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