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LKrO (Bayern) — Rechtsstellung; Aufgaben des Kreistags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Kreistag ist die Vertretung der Kreisbürgerinnen und Kreisbürger. Er entscheidet im Rahmen des Art. 22 über alle wichtigen Angelegenheiten der Kreisverwaltung.</w:t>
      </w:r>
    </w:p>
    <w:p>
      <w:r>
        <w:t xml:space="preserve">(2) Der Kreistag überwacht die gesamte Kreisverwaltung, insbesondere auch die Ausführung seiner Beschlüsse. Jeder Kreisrätin und jedem Kreisrat muss durch das Landratsamt Auskunft erteilt werden.</w:t>
      </w:r>
    </w:p>
    <w:p>
      <w:r>
        <w:rPr>
          <w:color w:val="555555"/>
          <w:sz w:val="17"/>
        </w:rPr>
        <w:t xml:space="preserve">Zitiervorschlag: Art 23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