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LKrO (Bayern) — Inhalt der Satzungen</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Satzungen können die Landkreise insbesondere</w:t>
      </w:r>
    </w:p>
    <w:p>
      <w:r>
        <w:t xml:space="preserve">1. die Benutzung ihres Eigentums und ihrer öffentlichen Einrichtungen regeln,</w:t>
      </w:r>
    </w:p>
    <w:p>
      <w:r>
        <w:t xml:space="preserve">2. aus Gründen des öffentlichen Wohls, insbesondere zur Abwehr von Gefahren für die Sicherheit oder Gesundheit der Kreisangehörigen, den Anschluß- und Benutzungszwang für Einrichtungen des Landkreises anordnen,</w:t>
      </w:r>
    </w:p>
    <w:p>
      <w:r>
        <w:t xml:space="preserve">3. bestimmen, daß bei öffentlichen Notständen, insbesondere wenn es die Sicherheit des Verkehrs erfordert, Hand- und Spanndienste unter angemessener Berücksichtigung der wirtschaftlichen Verhältnisse der Pflichtigen angeordnet werden können.</w:t>
      </w:r>
    </w:p>
    <w:p>
      <w:r>
        <w:t xml:space="preserve">(2) In den Satzungen kann die Ersatzvornahme auf Kosten säumiger Verpflichteter für zulässig erklärt werden. In den Fällen des Absatzes 1 Nrn. 1 und 2 können in der Satzung Zuwiderhandlungen als Ordnungswidrigkeiten mit Geldbuße bis zu zweitausendfünfhundert Euro bedroht werden (bewehrte Satzung).</w:t>
      </w:r>
    </w:p>
    <w:p>
      <w:r>
        <w:t xml:space="preserve">(3) In Satzungen nach Absatz 1 Nrn. 1 und 2 und in Satzungen, die auf Grund anderer Gesetze, die auf diesen Artikel verweisen, erlassen werden, kann bestimmt werden, daß die vom Landkreis mit dem Vollzug dieser Satzungen beauftragten Personen berechtigt sind, zur Überwachung der Pflichten, die sich nach diesen Satzungen und Gesetzen ergeben, zu angemessener Tageszeit Grundstücke, Gebäude, Anlagen, Einrichtungen, Wohnungen und Wohnräume im erforderlichen Umfang zu betreten.</w:t>
      </w:r>
    </w:p>
    <w:p>
      <w:r>
        <w:rPr>
          <w:color w:val="555555"/>
          <w:sz w:val="17"/>
        </w:rPr>
        <w:t xml:space="preserve">Zitiervorschlag: Art 18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