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108 LKrO (Bayern) — Inkrafttreten, Außerkrafttreten</w:t>
      </w:r>
    </w:p>
    <w:p>
      <w:r>
        <w:rPr>
          <w:color w:val="555555"/>
          <w:sz w:val="18"/>
        </w:rPr>
        <w:t xml:space="preserve">Landkreisordnung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Dieses Gesetz ist dringlich. Es tritt am 14. Februar 1952 in Kraft.</w:t>
      </w:r>
    </w:p>
    <w:p>
      <w:r>
        <w:t xml:space="preserve">(2) Art. 106a Satz 3 tritt mit Ablauf des 31. Dezember 2032 außer Kraft.</w:t>
      </w:r>
    </w:p>
    <w:p>
      <w:r>
        <w:t xml:space="preserve">[Amtl. Anm.:] Diese Vorschrift betrifft das Inkrafttreten des Gesetzes in der ursprünglichen Fassung vom 16.2.1952 (GVBl. S. 39). Der Zeitpunkt des Inkrafttretens der späteren Änderungen ergibt sich aus den jeweiligen Änderungsgesetzen.</w:t>
      </w:r>
    </w:p>
    <w:p>
      <w:r>
        <w:rPr>
          <w:color w:val="555555"/>
          <w:sz w:val="17"/>
        </w:rPr>
        <w:t xml:space="preserve">Zitiervorschlag: Art 108 LKrO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https://recht.nulegal.eu/gesetze/LKrO/108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