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106a LKrO (Bayern) — Landkreiswirtschaftliche Erleichterungen anlässlich der Corona-Pandemie</w:t>
      </w:r>
    </w:p>
    <w:p>
      <w:r>
        <w:rPr>
          <w:color w:val="555555"/>
          <w:sz w:val="18"/>
        </w:rPr>
        <w:t xml:space="preserve">Landkreisordnung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(aufgehoben) (aufgehoben) Die in den Haushaltsjahren 2020 und 2021 angelegten und betätigten Abweichungen von landkreiswirtschaftlichen Bestimmungen dürfen sich auf nachfolgende Haushaltsjahre auswirken, längstens jedoch auf das Haushaltsjahr 2032.</w:t>
      </w:r>
    </w:p>
    <w:p>
      <w:r>
        <w:rPr>
          <w:color w:val="555555"/>
          <w:sz w:val="17"/>
        </w:rPr>
        <w:t xml:space="preserve">Zitiervorschlag: Art 106a LKrO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https://recht.nulegal.eu/gesetze/LKrO/106a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