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LKrO (Bayern) — Bekanntmachung; Gebühren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Rechtsverordnungen der Regierung nach Art. 8 Abs. 3 Satz 2 und nach Art. 9 Abs. 1 Satz 1 sind im Amtsblatt der Regierung bekanntzumachen.</w:t>
      </w:r>
    </w:p>
    <w:p>
      <w:r>
        <w:t xml:space="preserve">(2) Für Änderungen nach Art. 8 und Rechtshandlungen, die aus Anlaß solcher Änderungen erforderlich sind, werden landesrechtlich geregelte Abgaben nicht erhoben.</w:t>
      </w:r>
    </w:p>
    <w:p>
      <w:r>
        <w:rPr>
          <w:color w:val="555555"/>
          <w:sz w:val="17"/>
        </w:rPr>
        <w:t xml:space="preserve">Zitiervorschlag: Art 10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