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LKonV</w:t>
      </w:r>
    </w:p>
    <w:p>
      <w:r>
        <w:rPr>
          <w:color w:val="555555"/>
          <w:sz w:val="18"/>
        </w:rPr>
        <w:t xml:space="preserve">Lebensmittelkontrolleur-Verordnung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41 Abs. 2 Satz 2 des Lebensmittel- und Bedarfsgegenständegesetzes in der Fassung der Bekanntmachung vom 9. September 1997 (BGBl. I S. 2296) in Verbindung mit Artikel 56 des Zuständigkeitsanpassungs-Gesetzes vom 18. März 1975 (BGBl. I S. 705) und dem Organisationserlass vom 22. Januar 2001 (BGBl. I S. 127) verordnet das Bundesministerium für Verbraucherschutz, Ernährung und Landwirtschaft:</w:t>
      </w:r>
    </w:p>
    <w:p>
      <w:r>
        <w:rPr>
          <w:color w:val="555555"/>
          <w:sz w:val="17"/>
        </w:rPr>
        <w:t xml:space="preserve">Zitiervorschlag: Eingangsformel LKonV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https://recht.nulegal.eu/gesetze/LKonV/eingangsformel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