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LKonV — Ausnahmen und Übergangsvorschriften</w:t>
      </w:r>
    </w:p>
    <w:p>
      <w:r>
        <w:rPr>
          <w:color w:val="555555"/>
          <w:sz w:val="18"/>
        </w:rPr>
        <w:t xml:space="preserve">Lebensmittelkontrolleur-Verordnung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gilt nicht für</w:t>
      </w:r>
    </w:p>
    <w:p>
      <w:pPr>
        <w:ind w:left="420"/>
      </w:pPr>
      <w:r>
        <w:t xml:space="preserve">1. Weinsachverständige (Weinkontrolleure) nach § 31 Abs. 1 des Weingesetzes;</w:t>
      </w:r>
    </w:p>
    <w:p>
      <w:pPr>
        <w:ind w:left="420"/>
      </w:pPr>
      <w:r>
        <w:t xml:space="preserve">2. amtliche Fachassistenten im Sinne des Anhangs I Abschnitt III Kapitel IV Buchstabe B der Verordnung (EG) Nr. 854/2004 des Europäischen Parlaments und des Rates vom 29. April 2004 mit besonderen Verfahrensvorschriften für die amtliche Überwachung von zum menschlichen Verzehr bestimmten Erzeugnissen tierischen Ursprungs (ABl. EU Nr. L 139 S. 206, Nr. L 226 S. 83) in der jeweils geltenden Fassung.</w:t>
      </w:r>
    </w:p>
    <w:p>
      <w:r>
        <w:t xml:space="preserve">(2) Die Anforderungen nach § 1 gelten auch als erfüllt bei Personen, die</w:t>
      </w:r>
    </w:p>
    <w:p>
      <w:pPr>
        <w:ind w:left="420"/>
      </w:pPr>
      <w:r>
        <w:t xml:space="preserve">1. zum Zeitpunkt des Inkrafttretens dieser Verordnung Lebensmittelkontrolleure im Sinne der Lebensmittelkontrolleur-Verordnung vom 16. Juni 1977 (BGBl. I S. 1002), zuletzt geändert durch Artikel 6 Abs. 4 des Gesetzes vom 8. Juli 1994 (BGBl. I S. 1467) sind oder</w:t>
      </w:r>
    </w:p>
    <w:p>
      <w:pPr>
        <w:ind w:left="420"/>
      </w:pPr>
      <w:r>
        <w:t xml:space="preserve">2. vor dem Tage des Inkrafttretens dieser Verordnung eine Ausbildung gemäß der in Nummer 1 genannten Lebensmittelkontrolleur-Verordnung auf Grund entsprechender landesrechtlicher Vorschriften begonnen haben und sie danach nach diesen Vorschriften abschließen; die zuständigen obersten Landesbehörden können abweichend davon den Beginn der Ausbildung auf höchstens zwei Jahre nach Inkrafttreten dieser Verordnung festsetzen.</w:t>
      </w:r>
    </w:p>
    <w:p>
      <w:r>
        <w:t xml:space="preserve">(3) Die Länder tragen dafür Sorge, dass die in Absatz 2 Nr. 1 genannten Personen, soweit erforderlich, durch geeignete Fortbildungsmaßnahmen in den Stand gesetzt werden, alle in § 1 genannten Tätigkeiten auszuüben. § 4 bleibt unberührt.</w:t>
      </w:r>
    </w:p>
    <w:p>
      <w:r>
        <w:rPr>
          <w:color w:val="555555"/>
          <w:sz w:val="17"/>
        </w:rPr>
        <w:t xml:space="preserve">Zitiervorschlag: § 6 LKonV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https://recht.nulegal.eu/gesetze/LKonV/6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