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LKonV — Vorschriften der Länder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obersten Landesbehörden können im Rahmen dieser Verordnung nähere Vorschriften über den Lehrgang und die Prüfung sowie die Fortbildung erlassen, insbesondere können sie</w:t>
      </w:r>
    </w:p>
    <w:p>
      <w:pPr>
        <w:ind w:left="420"/>
      </w:pPr>
      <w:r>
        <w:t xml:space="preserve">1. eine Eignungsprüfung zur Ergänzung des Anforderungsnachweises nach § 2,</w:t>
      </w:r>
    </w:p>
    <w:p>
      <w:pPr>
        <w:ind w:left="420"/>
      </w:pPr>
      <w:r>
        <w:t xml:space="preserve">2. das Anrechnen einer erfolgreich abgeschlossenen Ausbildung zum Polizeivollzugsbeamten bis zu sechs Monaten auf die Dauer des Lehrgangs</w:t>
      </w:r>
    </w:p>
    <w:p>
      <w:r>
        <w:t xml:space="preserve">vorschreiben. Im Fall des § 3 Abs. 1 Satz 3 gilt Satz 1 Nr. 2 nicht.</w:t>
      </w:r>
    </w:p>
    <w:p>
      <w:r>
        <w:rPr>
          <w:color w:val="555555"/>
          <w:sz w:val="17"/>
        </w:rPr>
        <w:t xml:space="preserve">Zitiervorschlag: § 5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