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LKonV — Anforderungsnachweis</w:t>
      </w:r>
    </w:p>
    <w:p>
      <w:r>
        <w:rPr>
          <w:color w:val="555555"/>
          <w:sz w:val="18"/>
        </w:rPr>
        <w:t xml:space="preserve">Lebensmittelkontrolleur-Verordnung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Anforderungen nach § 1 erfüllt, wer in einem Beruf, der Kenntnisse und Fertigkeiten auf dem Gebiet des Verkehrs mit Lebensmitteln, Lebensmittel-Zusatzstoffen, kosmetischen Mitteln und Bedarfsgegenständen im Sinne des Lebensmittel- und Futtermittelgesetzbuches sowie Erzeugnissen im Sinne von § 2 Nummer 1 des Tabakerzeugnisgesetzes vermittelt,</w:t>
      </w:r>
    </w:p>
    <w:p>
      <w:pPr>
        <w:ind w:left="420"/>
      </w:pPr>
      <w:r>
        <w:t xml:space="preserve">1. eine Fortbildungsprüfung auf Grund des Berufsbildungsgesetzes oder der Handwerksordnung oder als Techniker mit staatlicher Abschlussprüfung in einem Lebensmittelberuf bestanden hat und</w:t>
      </w:r>
    </w:p>
    <w:p>
      <w:pPr>
        <w:ind w:left="420"/>
      </w:pPr>
      <w:r>
        <w:t xml:space="preserve">2. einen erfolgreichen Abschluss eines Lehrgangs nach § 3 nachweist.</w:t>
      </w:r>
    </w:p>
    <w:p>
      <w:r>
        <w:t xml:space="preserve">(2) Die zuständigen obersten Landesbehörden können</w:t>
      </w:r>
    </w:p>
    <w:p>
      <w:pPr>
        <w:ind w:left="420"/>
      </w:pPr>
      <w:r>
        <w:t xml:space="preserve">1. Bedienstete im Polizeivollzugsdienst,</w:t>
      </w:r>
    </w:p>
    <w:p>
      <w:pPr>
        <w:ind w:left="420"/>
      </w:pPr>
      <w:r>
        <w:t xml:space="preserve">2. Bewerber aus dem mittleren und gehobenen Dienst der allgemeinen Verwaltung, die jeweils mindestens drei Jahre in der amtlichen Lebensmittelüberwachung beschäftigt waren oder</w:t>
      </w:r>
    </w:p>
    <w:p>
      <w:pPr>
        <w:ind w:left="420"/>
      </w:pPr>
      <w:r>
        <w:t xml:space="preserve">3. Personen, die eine Ausbildung an einer Fachhochschule, in deren Verlauf Kenntnisse und Fertigkeiten auf dem Gebiet des Verkehrs mit Lebensmitteln, Lebensmittel-Zusatzstoffen, kosmetischen Mitteln und Bedarfsgegenständen im Sinne des Lebensmittel- und Futtermittelgesetzbuches sowie Erzeugnissen im Sinne von § 2 Nummer 1 des Tabakerzeugnisgesetzes vermittelt werden, erfolgreich abgeschlossen haben,</w:t>
      </w:r>
    </w:p>
    <w:p>
      <w:r>
        <w:t xml:space="preserve">den Personen nach Absatz 1 Nr. 1 gleichstellen. Absatz 1 Nr. 2 bleibt unberührt.</w:t>
      </w:r>
    </w:p>
    <w:p>
      <w:r>
        <w:rPr>
          <w:color w:val="555555"/>
          <w:sz w:val="17"/>
        </w:rPr>
        <w:t xml:space="preserve">Zitiervorschlag: § 2 LKonV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