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LKV — Übergangsvorschriften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Erzeugnisse, die vor dem 1. Juli 1993 gekennzeichnet oder in den Verkehr gebracht worden sind, dürfen weiter ohne die Angabe nach § 1 Abs. 1 in den Verkehr gebracht werden.</w:t>
      </w:r>
    </w:p>
    <w:p>
      <w:r>
        <w:t xml:space="preserve">(2) Getränke in Dauerbrandflaschen dürfen noch bis zum 31. Dezember 1996 ohne die Angabe nach § 1 Abs. 1 in den Verkehr gebracht werden.</w:t>
      </w:r>
    </w:p>
    <w:p>
      <w:r>
        <w:rPr>
          <w:color w:val="555555"/>
          <w:sz w:val="17"/>
        </w:rPr>
        <w:t xml:space="preserve">Zitiervorschlag: § 6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