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LKV — Art der Kennzeichnung</w:t>
      </w:r>
    </w:p>
    <w:p>
      <w:r>
        <w:rPr>
          <w:color w:val="555555"/>
          <w:sz w:val="18"/>
        </w:rPr>
        <w:t xml:space="preserve">Los-Kennzeichnungs-Verordnung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Angabe nach § 1 Abs. 1 muß gut sichtbar, deutlich lesbar und unverwischbar angebracht sein</w:t>
      </w:r>
    </w:p>
    <w:p>
      <w:pPr>
        <w:ind w:left="420"/>
      </w:pPr>
      <w:r>
        <w:t xml:space="preserve">1. bei Lebensmitteln in Fertigpackungen im Sinne des § 42 Absatz 1 des Mess- und Eichgesetzes, die dazu bestimmt sind, an den Verbraucher im Sinne des § 2 Nr. 2 abgegeben zu werden, auf der Fertigpackung oder einem mit ihr verbundenen Etikett,</w:t>
      </w:r>
    </w:p>
    <w:p>
      <w:pPr>
        <w:ind w:left="420"/>
      </w:pPr>
      <w:r>
        <w:t xml:space="preserve">2. bei anderen Lebensmitteln auf dem Behältnis oder der Verpackung oder in einem Begleitpapier.</w:t>
      </w:r>
    </w:p>
    <w:p>
      <w:r>
        <w:rPr>
          <w:color w:val="555555"/>
          <w:sz w:val="17"/>
        </w:rPr>
        <w:t xml:space="preserve">Zitiervorschlag: § 3 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