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LKQualiVO (Sachsen) — Bestehen des Feststellungsverfahrens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Feststellungsverfahren für Seiteneinsteigerinnen und Seiteneinsteiger ist bestanden</w:t>
      </w:r>
    </w:p>
    <w:p>
      <w:r>
        <w:t xml:space="preserve">1. im Fall von § 26 Absatz 1 Satz 2 Nummer 1 und 2, wenn das Kolloquium mit „erfüllt die Anforderungen“ bewertet worden ist,</w:t>
      </w:r>
    </w:p>
    <w:p>
      <w:r>
        <w:t xml:space="preserve">2. im Fall von § 26 Absatz 1 Satz 2 Nummer 3, wenn jede Komplexprüfung mit „erfüllt die Anforderungen“ bewertet worden ist.</w:t>
      </w:r>
    </w:p>
    <w:p>
      <w:r>
        <w:rPr>
          <w:color w:val="555555"/>
          <w:sz w:val="17"/>
        </w:rPr>
        <w:t xml:space="preserve">Zitiervorschlag: § 32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