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LKQualiVO (Sachsen) — Bestandteiledes Feststellungsverfahrens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Feststellungsverfahren für Seiteneinsteigerinnen und Seiteneinsteiger an Grundschulen oder an Förderschulen umfasst ein Kolloquium.</w:t>
      </w:r>
    </w:p>
    <w:p>
      <w:r>
        <w:t xml:space="preserve">(2) Das Feststellungsverfahren an Oberschulen, an Gymnasien oder an berufsbildenden Schulen umfasst zwei Komplexprüfungen.</w:t>
      </w:r>
    </w:p>
    <w:p>
      <w:r>
        <w:t xml:space="preserve">(3) Die jeweiligen Termine für das Kolloquium und die Komplexprüfungen werden von der Schulaufsichtsbehörde festgesetzt.</w:t>
      </w:r>
    </w:p>
    <w:p>
      <w:r>
        <w:rPr>
          <w:color w:val="555555"/>
          <w:sz w:val="17"/>
        </w:rPr>
        <w:t xml:space="preserve">Zitiervorschlag: § 28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