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LKArbZKVO (Sachsen)</w:t>
      </w:r>
    </w:p>
    <w:p>
      <w:r>
        <w:rPr>
          <w:color w:val="555555"/>
          <w:sz w:val="18"/>
        </w:rPr>
        <w:t xml:space="preserve">Lehrkräftearbeitszeitkontenverordnung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Mai 2026</w:t>
      </w:r>
    </w:p>
    <w:p>
      <w:r>
        <w:t xml:space="preserve">Die Staatsregierung verordnet aufgrund des § 144a Absatz 2 des Sächsischen Beamtengesetzes vom 18. Dezember 2013 (SächsGVBl. S. 970, 971), das zuletzt durch Artikel 3 des Gesetzes vom 27. Juni 2025 (SächsGVBl. S. 285) geändert worden ist, mit Zustimmung des Landtages:</w:t>
      </w:r>
    </w:p>
    <w:p>
      <w:r>
        <w:rPr>
          <w:color w:val="555555"/>
          <w:sz w:val="17"/>
        </w:rPr>
        <w:t xml:space="preserve">Zitiervorschlag: Eingangsformel LKArbZKVO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https://recht.nulegal.eu/gesetze/LKArbZKVO/eingangsformel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