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LKArbZKVO (Sachsen) — Inkrafttreten</w:t>
      </w:r>
    </w:p>
    <w:p>
      <w:r>
        <w:rPr>
          <w:color w:val="555555"/>
          <w:sz w:val="18"/>
        </w:rPr>
        <w:t xml:space="preserve">Lehrkräftearbeitszeitkontenverordnung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1. August 2026 in Kraft.</w:t>
      </w:r>
    </w:p>
    <w:p>
      <w:r>
        <w:t xml:space="preserve">Dresden, den 12. Mai 2026</w:t>
      </w:r>
    </w:p>
    <w:p>
      <w:r>
        <w:t xml:space="preserve">Der Ministerpräsident</w:t>
      </w:r>
    </w:p>
    <w:p>
      <w:r>
        <w:t xml:space="preserve">Michael Kretschmer</w:t>
      </w:r>
    </w:p>
    <w:p>
      <w:r>
        <w:t xml:space="preserve">Der Staatsminister für Kultus</w:t>
      </w:r>
    </w:p>
    <w:p>
      <w:r>
        <w:t xml:space="preserve">Conrad Clemens</w:t>
      </w:r>
    </w:p>
    <w:p>
      <w:r>
        <w:rPr>
          <w:color w:val="555555"/>
          <w:sz w:val="17"/>
        </w:rPr>
        <w:t xml:space="preserve">Zitiervorschlag: § 3 LKArbZKVO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https://recht.nulegal.eu/gesetze/LKArbZKVO/3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