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LKAAufgVO (Nordrhein-Westfalen)</w:t>
      </w:r>
    </w:p>
    <w:p>
      <w:r>
        <w:rPr>
          <w:color w:val="555555"/>
          <w:sz w:val="18"/>
        </w:rPr>
        <w:t xml:space="preserve">Aufgabenverordnung LKA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Landeskriminalamt ist zuständige Landesbehörde der Polizei im Sinne von § 4 Absatz 2 Nummer 1 und § 17 Absatz 1 des Bundeskriminalamtgesetzes vom 1. Juni 2017 (BGBl. I S. 1354; 2019 I S. 400), das durch Artikel 152 der Verordnung vom 19. Juni 2020 (BGBl. I S. 1328) geändert worden ist.</w:t>
      </w:r>
    </w:p>
    <w:p>
      <w:r>
        <w:rPr>
          <w:color w:val="555555"/>
          <w:sz w:val="17"/>
        </w:rPr>
        <w:t xml:space="preserve">Zitiervorschlag: § 1 LKAAufgVO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https://recht.nulegal.eu/gesetze/LKAAufgVO/1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