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LJKostG (Bayern) — Ansatz der Justizverwaltungskosten</w:t>
      </w:r>
    </w:p>
    <w:p>
      <w:r>
        <w:rPr>
          <w:color w:val="555555"/>
          <w:sz w:val="18"/>
        </w:rPr>
        <w:t xml:space="preserve">Landesjustizkostengesetz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Justizverwaltungskosten werden bei der Behörde angesetzt, die die kostenpflichtige Amtshandlung vorgenommen hat; Art. 6 Abs. 1 bleibt unberührt.</w:t>
      </w:r>
    </w:p>
    <w:p>
      <w:r>
        <w:rPr>
          <w:color w:val="555555"/>
          <w:sz w:val="17"/>
        </w:rPr>
        <w:t xml:space="preserve">Zitiervorschlag: Art 7 LJKostG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https://recht.nulegal.eu/gesetze/LJKostG/7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