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LJKostG (Bayern) — Auslagen in Hinterlegungssachen</w:t>
      </w:r>
    </w:p>
    <w:p>
      <w:r>
        <w:rPr>
          <w:color w:val="555555"/>
          <w:sz w:val="18"/>
        </w:rPr>
        <w:t xml:space="preserve">Landesjustizkostengesetz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Hinterlegungssachen werden neben den Auslagen nach Nr. 2000 Nr. 1 KV-JVKostG und § 11 Abs. 2 Satz 1 JVKostG, nach Nr. 2000 Nr. 2 und Nr. 2002 KV-JVKostG jeweils in Verbindung mit Nr. 2000 Nr. 1 KV-JVKostG sowie nach Vorbemerkung 2 KV-JVKostG als Auslagen erhoben</w:t>
      </w:r>
    </w:p>
    <w:p>
      <w:r>
        <w:t xml:space="preserve">1. die Beträge, die bei der Besorgung von Geschäften nach Art. 17 des Bayerischen Hinterlegungsgesetzes an Banken oder an andere Stellen zu zahlen sind,</w:t>
      </w:r>
    </w:p>
    <w:p>
      <w:r>
        <w:t xml:space="preserve">2. die Dokumentenpauschale für Ablichtungen, die anzufertigen sind, weil ein Antrag auf Annahme nicht in der erforderlichen Anzahl von Stücken vorgelegt worden ist.</w:t>
      </w:r>
    </w:p>
    <w:p>
      <w:r>
        <w:rPr>
          <w:color w:val="555555"/>
          <w:sz w:val="17"/>
        </w:rPr>
        <w:t xml:space="preserve">Zitiervorschlag: Art 5 LJKostG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https://recht.nulegal.eu/gesetze/LJKostG/5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