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LJHG (Sachsen) — Rechtsstellung der Mitglieder des Jugendhilfeausschusses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Jugendhilfeausschusses und seiner Unterausschüsse sind ehrenamtlich tätig. Die Aufwandsentschädigung richtet sich nach § 19 Absatz 2 SächsLKrO und § 21 Absatz 2 SächsGemO .</w:t>
      </w:r>
    </w:p>
    <w:p>
      <w:r>
        <w:t xml:space="preserve">(2) Für ihre Rechtsstellung gelten die für die Mitglieder der Vertretungskörperschaft maßgebenden Regelungen entsprechend.</w:t>
      </w:r>
    </w:p>
    <w:p>
      <w:r>
        <w:rPr>
          <w:color w:val="555555"/>
          <w:sz w:val="17"/>
        </w:rPr>
        <w:t xml:space="preserve">Zitiervorschlag: § 7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