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LJHG (Sachsen) — Verwaltungsvorschriften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Allgemeine Verwaltungsvorschriften erlassen</w:t>
      </w:r>
    </w:p>
    <w:p>
      <w:r>
        <w:t xml:space="preserve">1. das Staatsministerium für Soziales und Gesellschaftlichen Zusammenhalt und das Staatsministerium für Kultus im Rahmen ihrer jeweiligen Zuständigkeit zu § 9 Absatz 2 Satz 1 Nummer 1,</w:t>
      </w:r>
    </w:p>
    <w:p>
      <w:r>
        <w:t xml:space="preserve">2. das Staatsministerium für Soziales und Gesellschaftlichen Zusammenhalt zu § 9 Absatz 2 Satz 1 Nummer 2, 3 und 5 sowie</w:t>
      </w:r>
    </w:p>
    <w:p>
      <w:r>
        <w:t xml:space="preserve">3. das Staatsministerium für Soziales und Gesellschaftlichen Zusammenhalt und das Staatsministerium für Kultus im Rahmen ihrer jeweiligen Zuständigkeit zu § 27 Absatz 1.</w:t>
      </w:r>
    </w:p>
    <w:p>
      <w:r>
        <w:rPr>
          <w:color w:val="555555"/>
          <w:sz w:val="17"/>
        </w:rPr>
        <w:t xml:space="preserve">Zitiervorschlag: § 41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https://recht.nulegal.eu/gesetze/LJHG/41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