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LJHG (Sachsen) — Verwaltung des Mündelvermögens</w:t>
      </w:r>
    </w:p>
    <w:p>
      <w:r>
        <w:rPr>
          <w:color w:val="555555"/>
          <w:sz w:val="18"/>
        </w:rPr>
        <w:t xml:space="preserve">Landesjugendhilfegesetz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Kasse des örtlichen Trägers der öffentlichen Jugendhilfe besorgt die Kassen- und Rechnungsgeschäfte für die Pflegschaften und Vormundschaften des Jugendamtes. Sie muss sicherstellen, dass das Vermögen des einzelnen Mündels jederzeit festgestellt werden kann.</w:t>
      </w:r>
    </w:p>
    <w:p>
      <w:r>
        <w:rPr>
          <w:color w:val="555555"/>
          <w:sz w:val="17"/>
        </w:rPr>
        <w:t xml:space="preserve">Zitiervorschlag: § 35 LJHG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https://recht.nulegal.eu/gesetze/LJHG/35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