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19b LJHG (Sachsen) — Auskunftsrechte und Verschwiegenheitspflichten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öffentlichen Jugendhilfe und die Träger der freien Jugendhilfe sind verpflichtet, den nach § 19a finanzierten Ombudsstellen unter Beachtung der für sie geltenden datenschutzrechtlichen Bestimmungen Auskunft zu erteilen und zu einer Klärung bestehender Fragestellungen und Konflikte beizutragen.</w:t>
      </w:r>
    </w:p>
    <w:p>
      <w:r>
        <w:t xml:space="preserve">(2) Personen, die in einer nach § 19a finanzierten Ombudsstelle tätig sind, sind zur Verschwiegenheit über die Angelegenheiten verpflichtet, die ihnen im Zusammenhang mit ihrer Tätigkeit anvertraut worden sind. Die Pflicht nach Satz 1 besteht nach Beendigung der Tätigkeit fort.</w:t>
      </w:r>
    </w:p>
    <w:p>
      <w:r>
        <w:rPr>
          <w:color w:val="555555"/>
          <w:sz w:val="17"/>
        </w:rPr>
        <w:t xml:space="preserve">Zitiervorschlag: § 19b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https://recht.nulegal.eu/gesetze/LJHG/19b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