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LJAVO (Sachsen) — In-Kraft-Treten</w:t>
      </w:r>
    </w:p>
    <w:p>
      <w:r>
        <w:rPr>
          <w:color w:val="555555"/>
          <w:sz w:val="18"/>
        </w:rPr>
        <w:t xml:space="preserve">Verordnung der Sächsischen Staatsregierung zur Organisation und Verfahrensweise des Landesjugendamtes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12. Dezember 2000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Soziales, Gesundheit, Jugend und Familie</w:t>
      </w:r>
    </w:p>
    <w:p>
      <w:r>
        <w:t xml:space="preserve">Dr. Hans Geisler</w:t>
      </w:r>
    </w:p>
    <w:p>
      <w:r>
        <w:rPr>
          <w:color w:val="555555"/>
          <w:sz w:val="17"/>
        </w:rPr>
        <w:t xml:space="preserve">Zitiervorschlag: § 9 LJAVO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https://recht.nulegal.eu/gesetze/LJAVO/9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