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LImschG (Brandenburg) — Wärmenutzungs- und Energieanwendungsberatung</w:t>
      </w:r>
    </w:p>
    <w:p>
      <w:r>
        <w:rPr>
          <w:color w:val="555555"/>
          <w:sz w:val="18"/>
        </w:rPr>
        <w:t xml:space="preserve">Landesimmissionsschutzgesetz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Landesregierung gewährleistet eine angemessene und interessenunabhängige Beratung wärme- oder stromerzeugender sowie wärme- oder stromverbrauchender Betriebe, Haushaltungen, Selbstverwaltungskörperschaften, Behörden und sonstiger Einrichtungen. Das Land errichtet eine Energiesparagentur.</w:t>
      </w:r>
    </w:p>
    <w:p>
      <w:r>
        <w:t xml:space="preserve">(2) Die Beratung erstreckt sich auf eine umweltschonende, sparsame und kostengünstige Wärmenutzung, Wärme- und Stromerzeugung sowie eine rationelle, sparsame und umweltverträgliche Energieanwendung.</w:t>
      </w:r>
    </w:p>
    <w:p>
      <w:r>
        <w:t xml:space="preserve">(3) Der Beratungsträger ist verpflichtet, Beratungssuchenden angemessenen Rat zu erteilen, und berechtigt, in allen Verwaltungs- und Planungsverfahren mit Bedeutung für die Nutzung entstehender Wärme oder umweltverträgliche Energieanwendung gegenüber der zuständigen Behörde, dem Antragsteller oder Planungsträger Stellung zu nehmen.</w:t>
      </w:r>
    </w:p>
    <w:p>
      <w:r>
        <w:rPr>
          <w:color w:val="555555"/>
          <w:sz w:val="17"/>
        </w:rPr>
        <w:t xml:space="preserve">Zitiervorschlag: § 9 LImschG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