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LImschG (Brandenburg) — Außerkrafttreten von Vorschriften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Inkrafttreten dieses Gesetzes treten folgende Rechtsvorschriften, soweit sie gemäß Artikel 9 Abs. 1 des Einigungsvertrages vom 31. August 1990 (BGBl. II S. 885) als Landesrecht fortgelten, außer Kraft:</w:t>
      </w:r>
    </w:p>
    <w:p>
      <w:r>
        <w:t xml:space="preserve">§§ 29 bis 36 des Landeskulturgesetzes vom 14. Mai 1970 ( GBl. I S. 67), in der Fassung vom 2. Juli 1982 (GBl. I S. 467),</w:t>
      </w:r>
    </w:p>
    <w:p>
      <w:r>
        <w:t xml:space="preserve">die Vierte Durchführungsverordnung zum Landeskulturgesetz - Schutz vor Lärm - vom 14. Mai 1970 ( GBl. II S. 343) mit Ausnahme des § 8 Abs. 2,</w:t>
      </w:r>
    </w:p>
    <w:p>
      <w:r>
        <w:t xml:space="preserve">die Erste Durchführungsbestimmung zur Vierten Durchführungsverordnung zum Landeskulturgesetz - Schutz vor Lärm - Begrenzung der Lärmimmission - vom 26. Oktober 1970 (GBl. II S. 595),</w:t>
      </w:r>
    </w:p>
    <w:p>
      <w:r>
        <w:t xml:space="preserve">die Anordnung über den Ausgleich wirtschaftlicher Nachteile bei Immissionsschäden im Volks- und Genossenschaftswald vom 3. Oktober 1975 (GBl. I S. 687),</w:t>
      </w:r>
    </w:p>
    <w:p>
      <w:r>
        <w:t xml:space="preserve">die Zweite Durchführungsbestimmung zur Fünften Durchführungsverordnung zum Landeskulturgesetz - Begrenzung, Überwachung und Verminderung der Emission von Verbrennungsmotoren - vom 23. Januar 1985 (GBl. I S. 18),</w:t>
      </w:r>
    </w:p>
    <w:p>
      <w:r>
        <w:t xml:space="preserve">die Verordnung über die Staatliche Umweltinspektion vom 12. Juni 1985 (GBl. I S. 238),</w:t>
      </w:r>
    </w:p>
    <w:p>
      <w:r>
        <w:t xml:space="preserve">die Fünfte Durchführungsverordnung zum Landeskulturgesetz - Reinhaltung der Luft - vom 12. Februar 1987 (GBl. I Nr. 7 S. 18) mit Ausnahme der §§ 6, 7 und 18,</w:t>
      </w:r>
    </w:p>
    <w:p>
      <w:r>
        <w:t xml:space="preserve">die Erste Durchführungsbestimmung zur Fünften Durchführungsverordnung zum Landeskulturgesetz - Reinhaltung der Luft - Begrenzung, Überwachung und Kontrolle der Immissionen - vom 12. Februar 1987 (GBl. I S. 56),</w:t>
      </w:r>
    </w:p>
    <w:p>
      <w:r>
        <w:t xml:space="preserve">die Dritte Durchführungsbestimmung zur Fünften Durchführungsverordnung zum Landeskulturgesetz - Reinhaltung der Luft - Begrenzung, Überwachung und Kontrolle der Emissionen - vom 12. Februar 1987 (GBl. I S. 61 und GBl. SDR. Nr. 1284) mit Ausnahme der §§ 1 und 5 und</w:t>
      </w:r>
    </w:p>
    <w:p>
      <w:r>
        <w:t xml:space="preserve">die Vierte Durchführungsbestimmung zur Fünften Durchführungsverordnung zum Landeskulturgesetz - Reinhaltung der Luft - Smogordnung - vom 2. November 1989 (GBl. I S. 239).</w:t>
      </w:r>
    </w:p>
    <w:p>
      <w:r>
        <w:t xml:space="preserve">(2) Der Minister für Umwelt, Naturschutz und Raumordnung wird ermächtigt, zur Rechtsangleichung der nach Absatz 1 Nr. 2 und 7 fortgeltenden Bestimmungen durch Rechtsverordnung</w:t>
      </w:r>
    </w:p>
    <w:p>
      <w:r>
        <w:t xml:space="preserve">die Anforderungen an die Festsetzung von Emissionsgrenzwerten, soweit emissionsbegrenzende Anforderungen gemäß § 67 a Abs. 3 Bundes-Immissionsschutzgesetz nicht bestehen, sowie die Erhebung des Staub- und Abgasgeldes und</w:t>
      </w:r>
    </w:p>
    <w:p>
      <w:r>
        <w:t xml:space="preserve">die Anforderungen an den Betrieb von Wasserfahrzeugen mit Verbrennungsmotoren außer zu Zwecken der Berufsschiffahrt</w:t>
      </w:r>
    </w:p>
    <w:p>
      <w:r>
        <w:t xml:space="preserve">zu regeln.</w:t>
      </w:r>
    </w:p>
    <w:p>
      <w:r>
        <w:rPr>
          <w:color w:val="555555"/>
          <w:sz w:val="17"/>
        </w:rPr>
        <w:t xml:space="preserve">Zitiervorschlag: § 26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