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LImschG (Brandenburg) — Geltungsbereich und Begriffsbestimmungen</w:t>
      </w:r>
    </w:p>
    <w:p>
      <w:r>
        <w:rPr>
          <w:color w:val="555555"/>
          <w:sz w:val="18"/>
        </w:rPr>
        <w:t xml:space="preserve">Landesimmissionsschutzgesetz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Gesetz gilt für die Errichtung, den Betrieb, die Änderung, die Stillegung und den Abriß von Anlagen sowie für das Verhalten von Personen, soweit hierdurch schädliche Umwelteinwirkungen verursacht werden können.</w:t>
      </w:r>
    </w:p>
    <w:p>
      <w:r>
        <w:t xml:space="preserve">(2) Andere Vorschriften, die dem Schutz vor schädlichen Umwelteinwirkungen oder der Vorsorge hiergegen dienen, sowie der allgemeinen Gefahrenabwehr dienende Vorschriften werden durch dieses Gesetz nicht berührt.</w:t>
      </w:r>
    </w:p>
    <w:p>
      <w:r>
        <w:t xml:space="preserve">(3) Die Begriffe der schädlichen Umwelteinwirkung, der Immission, der Emission, der Luftverunreinigung, der Anlage, des Betriebsbereiches und des Standes der Technik werden im Sinne von § 3 Abs. 1 bis 6 Bundes-Immissionsschutzgesetz verwandt. Anlagen im Sinne dieses Gesetzes sind auch Kraftfahrzeuge und ihre Anhänger, Schienen-, Luft- und Wasserfahrzeuge, soweit sie nicht zum Personal- oder Güterverkehr auf öffentlichen Verkehrswegen oder im Luftraum eingesetzt werden.</w:t>
      </w:r>
    </w:p>
    <w:p>
      <w:r>
        <w:rPr>
          <w:color w:val="555555"/>
          <w:sz w:val="17"/>
        </w:rPr>
        <w:t xml:space="preserve">Zitiervorschlag: § 2 LImschG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