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LImschG (Brandenburg) — Sonstige Bestimmungen zum Schutz der Ruhe</w:t>
      </w:r>
    </w:p>
    <w:p>
      <w:r>
        <w:rPr>
          <w:color w:val="555555"/>
          <w:sz w:val="18"/>
        </w:rPr>
        <w:t xml:space="preserve">Landesimmissionsschutzgesetz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Minister für Umwelt, Naturschutz und Raumordnung wird ermächtigt, durch Rechtsverordnung Bestimmungen</w:t>
      </w:r>
    </w:p>
    <w:p>
      <w:r>
        <w:t xml:space="preserve">zum besonderen Schutz der Sonn- und Feiertags- sowie Mittagsruhe,</w:t>
      </w:r>
    </w:p>
    <w:p>
      <w:r>
        <w:t xml:space="preserve">zur Schaffung besonderer Ruhezonen, insbesondere in Landschafts- und Naturschutzgebieten, Nationalparks, Biosphärenreservaten und an Gewässern sowie</w:t>
      </w:r>
    </w:p>
    <w:p>
      <w:r>
        <w:t xml:space="preserve">zum Schutz vor Geräuschen durch Leicht-, Klein- und Geschäftsflugzeuge und Sportboote mit Verbrennungsmotoren</w:t>
      </w:r>
    </w:p>
    <w:p>
      <w:r>
        <w:t xml:space="preserve">zu schaffen, sofern besondere Bestimmungen dem nicht entgegenstehen.</w:t>
      </w:r>
    </w:p>
    <w:p>
      <w:r>
        <w:rPr>
          <w:color w:val="555555"/>
          <w:sz w:val="17"/>
        </w:rPr>
        <w:t xml:space="preserve">Zitiervorschlag: § 13 LImschG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