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LImschG - (Nordrhein-Westfalen) — Schutz der Nachtruhe</w:t>
      </w:r>
    </w:p>
    <w:p>
      <w:r>
        <w:rPr>
          <w:color w:val="555555"/>
          <w:sz w:val="18"/>
        </w:rPr>
        <w:t xml:space="preserve">Landes-Immissionsschutzgesetz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Von 22 bis 6 Uhr sind Betätigungen verboten, welche die Nachtruhe zu stören geeignet sind.</w:t>
      </w:r>
    </w:p>
    <w:p>
      <w:r>
        <w:t xml:space="preserve">(2) Das Verbot des Absatzes 1 gilt nicht für</w:t>
      </w:r>
    </w:p>
    <w:p>
      <w:r>
        <w:t xml:space="preserve">1. Ernte- und Bestellarbeiten zwischen 5 und 6 Uhr sowie zwischen 22 und 23 Uhr,</w:t>
      </w:r>
    </w:p>
    <w:p>
      <w:r>
        <w:t xml:space="preserve">2. die Außengastronomie zwischen 22 und 24 Uhr. Die Gemeinde soll den Beginn der Nachtruhe außerhalb von Kerngebieten, Gewerbegebieten, Sondergebieten für Freizeitparks, des Außenbereichs sowie von Gebieten nach § 34 Abs. 2 Baugesetzbuch mit entsprechender Eigenart der näheren Umgebung bis auf 22 Uhr vorverlegen, wenn dies zum Schutz der Nachbarschaft geboten ist. Dies kann auch im Wege der ordnungsbehördlichen Verordnung erfolgen.</w:t>
      </w:r>
    </w:p>
    <w:p>
      <w:r>
        <w:t xml:space="preserve">3. den Betrieb von Anlagen, die aufgrund einer Genehmigung nach dem Bundes-Immissionsschutzgesetz, einer Planfeststellung nach dem Kreislaufwirtschafts- und Abfallgesetz oder dem Bundesberggesetz (BBergG) oder aufgrund eines zugelassenen Betriebsplanes nach dem Bundesberggesetz betrieben werden,</w:t>
      </w:r>
    </w:p>
    <w:p>
      <w:r>
        <w:t xml:space="preserve">4. Maßnahmen zur Verhütung oder Beseitigung eines Notstandes, und</w:t>
      </w:r>
    </w:p>
    <w:p>
      <w:r>
        <w:t xml:space="preserve">5. von den Gemeinden selbst oder durch Beauftragte bis zum 31. Juli 2024 durchgeführte Großveranstaltungen, die in bis zu neun Nächten bis 1 Uhr des Folgetages sowie in bis zu weiteren 13 Nächten zwischen 22 und 24 Uhr im Kalenderjahr im Zusammenhang mit der in Deutschland stattfindenden Fußball-Europameisterschaft 2024 in allgemeinen Wohngebieten, besonderen Wohngebieten, urbanen Gebieten, Kerngebieten, Gewerbegebieten, Mischgebieten, in Sondergebieten für Freizeitparks, Hafengebieten, Einkaufszentren, Sondergebieten für Messen, Ausstellungen und Kongresse, Sondergebieten für sportliche Zwecke sowie in Gebieten nach § 34 Absatz 2 BauGB mit entsprechender Eigenart der näheren Umgebung stattfinden; es ist mit einem Veranstaltungs- und Lärmschutzkonzept sicherzustellen, dass – gemessen und beurteilt nach der Technischen Anleitung zum Schutz gegen Lärm vom 26. August 1998 (GMBl 1998 S. 503), die durch Verwaltungsvorschrift vom 1. Juni 2017 (BAnz AT 08.06.2017 B5) geändert worden ist, – bei einer angrenzenden Wohnnutzung innerhalb der benannten Gebiete keine höheren Maximalpegel durch technische Beschallung als 80 Dezibel A (dB (A)) verursacht werden; außerhalb der benannten Gebiete gelten die allgemeinen Anforderungen des Lärmschutzes.</w:t>
      </w:r>
    </w:p>
    <w:p>
      <w:r>
        <w:t xml:space="preserve">Darüber hinaus kann die zuständige Behörde auf Antrag Ausnahmen von dem Verbot des Absatzes 1 zulassen, wenn die Ausübung der Tätigkeit während der Nachtzeit im öffentlichen Interesse oder im überwiegenden Interesse eines Beteiligten geboten ist; die Ausnahme kann unter Bedingungen erteilt und mit Auflagen verbunden werden.</w:t>
      </w:r>
    </w:p>
    <w:p>
      <w:r>
        <w:t xml:space="preserve">(3) Bei Vorliegen eines öffentlichen Bedürfnisses oder besonderer örtlicher Verhältnisse können die Gemeinden für Messen, Märkte, Volksfeste, Volksbelustigungen, ähnliche Veranstaltungen und für Zwecke der Außengastronomie sowie für die Nacht vom 31. Dezember zum 1. Januar durch ordnungsbehördliche Verordnung allgemeine Ausnahmen von dem Verbot des Absatzes 1 zulassen. Ein öffentliches Bedürfnis liegt in der Regel vor, wenn eine Veranstaltung auf historischen, kulturellen oder sonst sozialgewichtigen Umständen beruht und deshalb das Interesse der Allgemeinheit an der Durchführung der Veranstaltung gegenüber dem Schutzbedürfnis der Nachbarschaft überwiegt.</w:t>
      </w:r>
    </w:p>
    <w:p>
      <w:r>
        <w:rPr>
          <w:color w:val="555555"/>
          <w:sz w:val="17"/>
        </w:rPr>
        <w:t xml:space="preserve">Zitiervorschlag: § 9 LImschG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https://recht.nulegal.eu/gesetze/LImschG%20-/9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