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LImschG - (Nordrhein-Westfalen) — Inkrafttreten</w:t>
      </w:r>
    </w:p>
    <w:p>
      <w:r>
        <w:rPr>
          <w:color w:val="555555"/>
          <w:sz w:val="18"/>
        </w:rPr>
        <w:t xml:space="preserve">Landes-Immissionsschutzgesetz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ersten Tag des auf die Verkündung folgenden Kalendermonats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Der Ministerpräsident</w:t>
      </w:r>
    </w:p>
    <w:p>
      <w:r>
        <w:rPr>
          <w:color w:val="555555"/>
          <w:sz w:val="17"/>
        </w:rPr>
        <w:t xml:space="preserve">Zitiervorschlag: § 22 LImschG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https://recht.nulegal.eu/gesetze/LImschG%20-/22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