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LImschG - (Nordrhein-Westfalen) — Begriffsbestimmungen</w:t>
      </w:r>
    </w:p>
    <w:p>
      <w:r>
        <w:rPr>
          <w:color w:val="555555"/>
          <w:sz w:val="18"/>
        </w:rPr>
        <w:t xml:space="preserve">Landes-Immissionsschutzgesetz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Begriffe der schädlichen Umwelteinwirkungen, der Immissionen, der Emissionen, der Luftverunreinigungen, der Anlagen und des Standes der Technik werden in diesem Gesetz im Sinne des § 3 Abs. 1 bis 6 des Bundes-Immissionsschutzgesetzes verwandt. Soweit Kraftfahrzeuge und ihre Anhänger, Schienen-, Luft- und Wasserfahrzeuge nicht zum Personen- oder Güterverkehr auf öffentlichen Verkehrswegen oder im Luftraum eingesetzt werden, sind sie Anlagen im Sinne dieses Gesetzes.</w:t>
      </w:r>
    </w:p>
    <w:p>
      <w:r>
        <w:rPr>
          <w:color w:val="555555"/>
          <w:sz w:val="17"/>
        </w:rPr>
        <w:t xml:space="preserve">Zitiervorschlag: § 2 LImschG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https://recht.nulegal.eu/gesetze/LImschG%20-/2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