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LImschG - (Nordrhein-Westfalen) — Anwendung des Bundes-Immissionsschutzgesetzes</w:t>
      </w:r>
    </w:p>
    <w:p>
      <w:r>
        <w:rPr>
          <w:color w:val="555555"/>
          <w:sz w:val="18"/>
        </w:rPr>
        <w:t xml:space="preserve">Landes-Immissionsschutzgesetz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Abwehr anderer Immissionen als Luftverunreinigungen und Geräusche sind die Vorschriften des § 22 Abs. 1 Satz 1 und § 31 des Bundes-Immissionsschutzgesetzes auch auf Anlagen entsprechend anzuwenden, die nicht gewerblichen Zwecken dienen und die nicht im Rahmen wirtschaftlicher Unternehmungen Verwendung finden.</w:t>
      </w:r>
    </w:p>
    <w:p>
      <w:r>
        <w:t xml:space="preserve">Vierter Abschnitt</w:t>
      </w:r>
    </w:p>
    <w:p>
      <w:r>
        <w:t xml:space="preserve">Schutz vor sonstigen Gefahren</w:t>
      </w:r>
    </w:p>
    <w:p>
      <w:r>
        <w:rPr>
          <w:color w:val="555555"/>
          <w:sz w:val="17"/>
        </w:rPr>
        <w:t xml:space="preserve">Zitiervorschlag: § 13 LImschG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https://recht.nulegal.eu/gesetze/LImschG%20-/13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