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LINEGG - (Nordrhein-Westfalen) — Satzung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Satzung regelt die inneren Verhältnisse der Genossenschaft, soweit sie sich nicht bereits aus diesem Gesetz ergeben.</w:t>
      </w:r>
    </w:p>
    <w:p>
      <w:r>
        <w:t xml:space="preserve">(2) Über die Satzung und ihre Änderungen beschließt die Genossenschaftsversammlung; die Satzung und ihre Änderungen bedürfen der Genehmigung durch die Aufsichtsbehörde.</w:t>
      </w:r>
    </w:p>
    <w:p>
      <w:r>
        <w:t xml:space="preserve">(3) Die Satzung bestimmt insbesondere:</w:t>
      </w:r>
    </w:p>
    <w:p>
      <w:r>
        <w:t xml:space="preserve">1. den Sitz der Genossenschaft (§ 1 Abs. 2),</w:t>
      </w:r>
    </w:p>
    <w:p>
      <w:r>
        <w:t xml:space="preserve">2. die Mindestbeiträge für die Begründung der Mitgliedschaft (§ 6 Abs. 2),</w:t>
      </w:r>
    </w:p>
    <w:p>
      <w:r>
        <w:t xml:space="preserve">3. die Aufstellung und Führung des Verzeichnisses der Genossen (§ 6 Abs. 3),</w:t>
      </w:r>
    </w:p>
    <w:p>
      <w:r>
        <w:t xml:space="preserve">4. die Höhe des Beitrages für eine Beitragseinheit, die zur Entsendung einer Delegierten oder eines Delegierten berechtigt (§ 12 Abs. 2),</w:t>
      </w:r>
    </w:p>
    <w:p>
      <w:r>
        <w:t xml:space="preserve">5. das Nähere über die Bildung von Stimmgruppen (§ 12 Abs. 3),</w:t>
      </w:r>
    </w:p>
    <w:p>
      <w:r>
        <w:t xml:space="preserve">6. die Wertgrenzen für Geschäfte und sonstige Angelegenheiten von herausragender Bedeutung, bei deren Erreichen oder Überschreiten die Zustimmung des Genossenschaftsrates einzuholen ist (§ 17 Abs. 5 Nr. 12),</w:t>
      </w:r>
    </w:p>
    <w:p>
      <w:r>
        <w:t xml:space="preserve">7. das Nähere zum Rechnungswesen, zur Wirtschaftsführung und das Verfahren für die Rechnungsprüfung (§ 24 Abs. 2),</w:t>
      </w:r>
    </w:p>
    <w:p>
      <w:r>
        <w:t xml:space="preserve">8. die Formen der Bekanntmachungen (§ 33) und</w:t>
      </w:r>
    </w:p>
    <w:p>
      <w:r>
        <w:t xml:space="preserve">9. die Art der Ausweisung und Abrechnung gegenüber dem vorteilhabenden Genossen für die nach § 4 Absatz 1 übernommenen Aufgaben.</w:t>
      </w:r>
    </w:p>
    <w:p>
      <w:r>
        <w:t xml:space="preserve">(4) Die Satzung und jede Änderung sind auf Kosten der Genossenschaft im Gesetz- und Verordnungsblatt für das Land Nordrhein-Westfalen bekanntzumachen.</w:t>
      </w:r>
    </w:p>
    <w:p>
      <w:r>
        <w:t xml:space="preserve">(5) Die Verletzung von Verfahrens- oder Formvorschriften dieses Gesetzes kann gegen die Satzung nach Ablauf eines Jahres seit ihrer Verkündung nicht mehr geltend gemacht werden, es sei denn,</w:t>
      </w:r>
    </w:p>
    <w:p>
      <w:r>
        <w:t xml:space="preserve">a) eine vorgeschriebene Genehmigung fehlt,</w:t>
      </w:r>
    </w:p>
    <w:p>
      <w:r>
        <w:t xml:space="preserve">b) die Satzung ist nicht ordnungsgemäß öffentlich bekanntgemacht worden,</w:t>
      </w:r>
    </w:p>
    <w:p>
      <w:r>
        <w:t xml:space="preserve">c) der Vorstand hat den Beschluß der Genossenschaftsversammlung vorher beanstandet oder</w:t>
      </w:r>
    </w:p>
    <w:p>
      <w:r>
        <w:t xml:space="preserve">d) der Form- oder Verfahrensmangel ist gegenüber der Genossenschaft vorher gerügt und dabei die verletzte Rechtsvorschrift und die Tatsache bezeichnet worden, die den Mangel ergibt.</w:t>
      </w:r>
    </w:p>
    <w:p>
      <w:r>
        <w:t xml:space="preserve">Bei der öffentlichen Bekanntmachung der Satzung und ihrer Änderungen ist auf die Rechtsfolge nach Satz 1 hinzuweisen.</w:t>
      </w:r>
    </w:p>
    <w:p>
      <w:r>
        <w:rPr>
          <w:color w:val="555555"/>
          <w:sz w:val="17"/>
        </w:rPr>
        <w:t xml:space="preserve">Zitiervorschlag: § 11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