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LHebG NRW (Nordrhein-Westfalen)</w:t>
      </w:r>
    </w:p>
    <w:p>
      <w:r>
        <w:rPr>
          <w:color w:val="555555"/>
          <w:sz w:val="18"/>
        </w:rPr>
        <w:t xml:space="preserve">Landeshebammengesetz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 Die Landesregierung berichtet dem Landtag bis zum 31. Dezember 2025 und danach alle fünf Jahre über die Auswirkungen dieses Gesetzes.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Die Ministerin für Frauen, Jugend</w:t>
      </w:r>
    </w:p>
    <w:p>
      <w:r>
        <w:t xml:space="preserve">Familie und Gesundheit</w:t>
      </w:r>
    </w:p>
    <w:p>
      <w:r>
        <w:rPr>
          <w:color w:val="555555"/>
          <w:sz w:val="17"/>
        </w:rPr>
        <w:t xml:space="preserve">Zitiervorschlag: § 4 LHebG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https://recht.nulegal.eu/gesetze/LHebG%20NRW/4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