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LHauswAusbStV</w:t>
      </w:r>
    </w:p>
    <w:p>
      <w:r>
        <w:rPr>
          <w:color w:val="555555"/>
          <w:sz w:val="18"/>
        </w:rPr>
        <w:t xml:space="preserve">Verordnung über die Eignung der Ausbildungsstätte in der ländlichen Hauswirtschaft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82 Abs. 2 des Berufsbildungsgesetzes vom 14. August 1969 (Bundesgesetzbl. I S. 1112), zuletzt geändert durch Artikel 236 des Einführungsgesetzes zum Strafgesetzbuch vom 2. März 1974 (Bundesgesetzbl. I S. 469), wird im Einvernehmen mit den Bundesministern für Arbeit und Sozialordnung und für Bildung und Wissenschaft verordnet:</w:t>
      </w:r>
    </w:p>
    <w:p>
      <w:r>
        <w:rPr>
          <w:color w:val="555555"/>
          <w:sz w:val="17"/>
        </w:rPr>
        <w:t xml:space="preserve">Zitiervorschlag: Eingangsformel LHauswAusbStV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https://recht.nulegal.eu/gesetze/LHauswAusbStV/eingangsformel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