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LHauswAusbStV — Berlin-Klausel</w:t>
      </w:r>
    </w:p>
    <w:p>
      <w:r>
        <w:rPr>
          <w:color w:val="555555"/>
          <w:sz w:val="18"/>
        </w:rPr>
        <w:t xml:space="preserve">Verordnung über die Eignung der Ausbildungsstätte in der ländlichen Hauswirtschaft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vom 4. Januar 1952 (Bundesgesetzblatt I S. 1) in Verbindung mit § 112 des Berufsbildungsgesetzes auch im Land Berlin.</w:t>
      </w:r>
    </w:p>
    <w:p>
      <w:r>
        <w:rPr>
          <w:color w:val="555555"/>
          <w:sz w:val="17"/>
        </w:rPr>
        <w:t xml:space="preserve">Zitiervorschlag: § 4 LHauswAusbStV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https://recht.nulegal.eu/gesetze/LHauswAusbStV/4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