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LHafenV (Brandenburg) — Beschränkung der Hafennutzung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Hafenbetreiber kann in Abstimmung mit der oberen</w:t>
      </w:r>
    </w:p>
    <w:p>
      <w:r>
        <w:t xml:space="preserve">Verkehrsbehörde zur Abwehr von Gefahren für die Sicherheit oder</w:t>
      </w:r>
    </w:p>
    <w:p>
      <w:r>
        <w:t xml:space="preserve">Ordnung des Hafenbetriebes den Aufenthalt von Fahrzeugen oder schwimmenden</w:t>
      </w:r>
    </w:p>
    <w:p>
      <w:r>
        <w:t xml:space="preserve">Anlagen im Hafengebiet vorübergehend einschränken.</w:t>
      </w:r>
    </w:p>
    <w:p>
      <w:r>
        <w:t xml:space="preserve">(2) Unter den Voraussetzungen von Absatz 1 kann der</w:t>
      </w:r>
    </w:p>
    <w:p>
      <w:r>
        <w:t xml:space="preserve">Hafenbetreiber in Abstimmung mit der oberen Verkehrsbehörde den Aufenthalt</w:t>
      </w:r>
    </w:p>
    <w:p>
      <w:r>
        <w:t xml:space="preserve">von Personen im Hafengebiet oder die Nutzung der Hafenanlagen zeitlich</w:t>
      </w:r>
    </w:p>
    <w:p>
      <w:r>
        <w:t xml:space="preserve">begrenzen oder versagen.</w:t>
      </w:r>
    </w:p>
    <w:p>
      <w:r>
        <w:rPr>
          <w:color w:val="555555"/>
          <w:sz w:val="17"/>
        </w:rPr>
        <w:t xml:space="preserve">Zitiervorschlag: § 8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