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LHafenV (Brandenburg) — Benutzung des Hafens, Hafenordnung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Hafen, das Hafengebiet und die Hafenanlagen</w:t>
      </w:r>
    </w:p>
    <w:p>
      <w:r>
        <w:t xml:space="preserve">können von jedermann im Rahmen der Vorschriften dieser Verordnung genutzt</w:t>
      </w:r>
    </w:p>
    <w:p>
      <w:r>
        <w:t xml:space="preserve">werden, soweit dadurch nicht Rechte anderer beeinträchtigt werden.</w:t>
      </w:r>
    </w:p>
    <w:p>
      <w:r>
        <w:t xml:space="preserve">(2) Der Hafenbetreiber ist verpflichtet, in einer Hafenordnung</w:t>
      </w:r>
    </w:p>
    <w:p>
      <w:r>
        <w:t xml:space="preserve">Einzelheiten des Betriebes und der Nutzung des Hafens, des Hafengebietes und</w:t>
      </w:r>
    </w:p>
    <w:p>
      <w:r>
        <w:t xml:space="preserve">der Hafenanlagen, die Besonderheiten des Verhaltens sowie die für die</w:t>
      </w:r>
    </w:p>
    <w:p>
      <w:r>
        <w:t xml:space="preserve">Sicherheit und den Brandschutz im Hafen erforderlichen Regelungen festzulegen.</w:t>
      </w:r>
    </w:p>
    <w:p>
      <w:r>
        <w:t xml:space="preserve">Diese ist der oberen Verkehrsbehörde zur Zustimmung vorzulegen und danach</w:t>
      </w:r>
    </w:p>
    <w:p>
      <w:r>
        <w:t xml:space="preserve">im Hafen für jedermann zugänglich auszuhängen.</w:t>
      </w:r>
    </w:p>
    <w:p>
      <w:r>
        <w:rPr>
          <w:color w:val="555555"/>
          <w:sz w:val="17"/>
        </w:rPr>
        <w:t xml:space="preserve">Zitiervorschlag: § 7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